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E61297" w:rsidRDefault="00E61297" w:rsidP="00E6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D65F57" w:rsidRPr="00D65F57" w:rsidRDefault="00E61297" w:rsidP="00D65F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65F57" w:rsidRPr="00D65F57">
        <w:rPr>
          <w:rFonts w:ascii="Times New Roman" w:hAnsi="Times New Roman"/>
          <w:b/>
          <w:sz w:val="24"/>
          <w:szCs w:val="24"/>
        </w:rPr>
        <w:t>Деловая корреспонденция на иностранном языке (1- иностранный язык)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Market</w:t>
      </w:r>
      <w:r w:rsidR="00D65F57" w:rsidRPr="00D6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Leader</w:t>
      </w:r>
      <w:r w:rsidR="00D65F57" w:rsidRPr="00D65F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Intermediate. David Cotton, David </w:t>
      </w:r>
      <w:proofErr w:type="spellStart"/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Falvey</w:t>
      </w:r>
      <w:proofErr w:type="spellEnd"/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, Simon Kent. Pearson Education Limited. 2005</w:t>
      </w:r>
    </w:p>
    <w:p w:rsidR="00E61297" w:rsidRPr="00E61297" w:rsidRDefault="00D65F57" w:rsidP="00D65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E61297"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работе с учебно-методическим комплексом)</w:t>
      </w: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Основания, целевая аудитория и ориентированность учебно-методического комплекса</w:t>
      </w:r>
    </w:p>
    <w:p w:rsidR="00E61297" w:rsidRPr="00D65F57" w:rsidRDefault="00E61297" w:rsidP="00D65F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5F57"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65F57" w:rsidRPr="00D65F57">
        <w:rPr>
          <w:rFonts w:ascii="Times New Roman" w:hAnsi="Times New Roman"/>
          <w:b/>
          <w:sz w:val="24"/>
          <w:szCs w:val="24"/>
        </w:rPr>
        <w:t>Деловая корреспонденция на иностранном языке (1- иностранный язык)</w:t>
      </w:r>
      <w:r w:rsidR="00D65F57"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</w:t>
      </w:r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Market</w:t>
      </w:r>
      <w:r w:rsidR="00D65F57" w:rsidRPr="00D6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Leader</w:t>
      </w:r>
      <w:r w:rsidR="00D65F57" w:rsidRPr="00D65F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Intermediate. David Cotton, David </w:t>
      </w:r>
      <w:proofErr w:type="spellStart"/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>Falvey</w:t>
      </w:r>
      <w:proofErr w:type="spellEnd"/>
      <w:r w:rsidR="00D65F57" w:rsidRPr="00D65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Simon Kent. Pearson Education Limited. </w:t>
      </w:r>
      <w:r w:rsidR="00D65F57" w:rsidRPr="00D65F57">
        <w:rPr>
          <w:rFonts w:ascii="Times New Roman" w:hAnsi="Times New Roman" w:cs="Times New Roman"/>
          <w:b/>
          <w:sz w:val="24"/>
          <w:szCs w:val="24"/>
        </w:rPr>
        <w:t>2005</w:t>
      </w:r>
      <w:r w:rsidR="00D65F57" w:rsidRPr="00D65F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6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как основной курс для студентов специальностей  </w:t>
      </w:r>
      <w:r w:rsidR="00EA2DD7" w:rsidRPr="00D65F57">
        <w:rPr>
          <w:rFonts w:ascii="Times New Roman" w:hAnsi="Times New Roman"/>
          <w:b/>
        </w:rPr>
        <w:t>5В011900 – Иностранный язык: два иностранных языка</w:t>
      </w:r>
      <w:r w:rsidR="00EA2DD7" w:rsidRPr="00D6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 курса – студенты специальностей , </w:t>
      </w:r>
      <w:r w:rsidR="00EA2DD7" w:rsidRPr="00D65F57">
        <w:rPr>
          <w:rFonts w:ascii="Times New Roman" w:hAnsi="Times New Roman"/>
        </w:rPr>
        <w:t>5В011900 – Иностранный язык: два иностранных языка.</w:t>
      </w:r>
    </w:p>
    <w:p w:rsidR="00E61297" w:rsidRPr="00E61297" w:rsidRDefault="00EA2DD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129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в первую очередь, предназначен для  изучения указанной дисциплины под руководством преподавателя (очное обучение), а также может быть использован как дополнительный учебный, учебно-методический и проверочный материал и при самостоятельном изучении этой дисциплины.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297">
        <w:rPr>
          <w:rFonts w:ascii="Times New Roman" w:eastAsia="Times New Roman" w:hAnsi="Times New Roman" w:cs="Times New Roman"/>
          <w:b/>
          <w:lang w:eastAsia="ru-RU"/>
        </w:rPr>
        <w:t>Структура, содержание и образовательные возможности учебно-методического комплекса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Ядром комплекса является структурированный в соответствии с целями и задачами курса лексико-грамматический материал (темы). В соответствующих разделах представлены вопросы для СРС и СРСП.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 Кроме этого, учебно-методический комплекс предоставляет возможность самостоятельной проверки уровня освоения материала за счет ответов на предлагаемые вопросы и тестовые задания по теме практических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Особенностью данного учебно-методического комплекса является предоставляемая возможность более углубленного изучения материала путем выполнения письменных лексико-грамматических упражнений, составления сообщений, описаний, диалогов, </w:t>
      </w:r>
      <w:r w:rsidRPr="00E61297">
        <w:rPr>
          <w:rFonts w:ascii="Times New Roman" w:eastAsia="Times New Roman" w:hAnsi="Times New Roman" w:cs="Times New Roman"/>
          <w:lang w:val="en-US" w:eastAsia="ru-RU"/>
        </w:rPr>
        <w:t>e</w:t>
      </w:r>
      <w:r w:rsidRPr="00E61297">
        <w:rPr>
          <w:rFonts w:ascii="Times New Roman" w:eastAsia="Times New Roman" w:hAnsi="Times New Roman" w:cs="Times New Roman"/>
          <w:lang w:eastAsia="ru-RU"/>
        </w:rPr>
        <w:t>-</w:t>
      </w:r>
      <w:r w:rsidRPr="00E61297">
        <w:rPr>
          <w:rFonts w:ascii="Times New Roman" w:eastAsia="Times New Roman" w:hAnsi="Times New Roman" w:cs="Times New Roman"/>
          <w:lang w:val="en-US" w:eastAsia="ru-RU"/>
        </w:rPr>
        <w:t>mail</w:t>
      </w:r>
      <w:r w:rsidRPr="00E61297">
        <w:rPr>
          <w:rFonts w:ascii="Times New Roman" w:eastAsia="Times New Roman" w:hAnsi="Times New Roman" w:cs="Times New Roman"/>
          <w:lang w:eastAsia="ru-RU"/>
        </w:rPr>
        <w:t>, пересказа, ролевых игр, тестов по темам, предлагаемым по курсу в целом.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порядок работы с учебно-методическим комплексом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учебно-методическим комплексом следует начинать со знакомства с его содержанием и программой курса. </w:t>
      </w:r>
      <w:proofErr w:type="gramStart"/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обучающемуся сориентироваться в объеме предлагаемого к изучению материала, понять уровень его сложности и освоить навыки полномасштабного использования всех ресурсов, включенных в состав комплекса.</w:t>
      </w:r>
      <w:proofErr w:type="gramEnd"/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Знакомство с темой следует начать с ввода грамматических конструкций и новых слов для развития говорения. Затем чтения текстового материла, прослушивания аудиоматериалов, показа видеоматериалов и обучения студентов навыкам  письма в соответствии с целью, задачами и темами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выполнения всех заданий, ориентированных на развитие навыков речевой деятельности (говорение, слушание, чтение и письмо) используется система контрольных заданий и тестовых вопросов для определения уровня освоенности темы.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предлагаемый порядок работы с учебно-методическим комплексом может быть видоизменен и сокращен в зависимости от уровня подготовленности обучаемого и с учетом его индивидуально-психологических особенностей.</w:t>
      </w:r>
    </w:p>
    <w:p w:rsidR="00F07A09" w:rsidRDefault="00F07A09"/>
    <w:sectPr w:rsidR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4B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547701"/>
    <w:rsid w:val="00D65F57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2017-10-17T16:56:00Z</dcterms:created>
  <dcterms:modified xsi:type="dcterms:W3CDTF">2018-01-22T17:00:00Z</dcterms:modified>
</cp:coreProperties>
</file>